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3438" w14:textId="77777777" w:rsidR="007427A2" w:rsidRDefault="007427A2" w:rsidP="007427A2">
      <w:pPr>
        <w:spacing w:line="1" w:lineRule="exact"/>
      </w:pPr>
    </w:p>
    <w:p w14:paraId="3EB0143F" w14:textId="77777777" w:rsidR="007427A2" w:rsidRDefault="007427A2" w:rsidP="007427A2">
      <w:pPr>
        <w:pStyle w:val="Bodytext20"/>
        <w:spacing w:after="0"/>
      </w:pPr>
      <w:r>
        <w:rPr>
          <w:rStyle w:val="Bodytext2"/>
          <w:b/>
        </w:rPr>
        <w:t>EU-U.S. Data Privacy Framework</w:t>
      </w:r>
    </w:p>
    <w:p w14:paraId="04058ECE" w14:textId="77777777" w:rsidR="007427A2" w:rsidRDefault="007427A2" w:rsidP="007427A2">
      <w:pPr>
        <w:pStyle w:val="Bodytext20"/>
      </w:pPr>
      <w:r>
        <w:rPr>
          <w:rStyle w:val="Bodytext2"/>
          <w:b/>
        </w:rPr>
        <w:t>Template complaint form for commercial complaints to EU DPAs</w:t>
      </w:r>
    </w:p>
    <w:p w14:paraId="6444271C" w14:textId="77777777" w:rsidR="007427A2" w:rsidRDefault="007427A2" w:rsidP="007427A2">
      <w:pPr>
        <w:pStyle w:val="Bodytext10"/>
        <w:spacing w:after="580"/>
        <w:jc w:val="both"/>
      </w:pPr>
      <w:r>
        <w:rPr>
          <w:rStyle w:val="Bodytext1"/>
        </w:rPr>
        <w:t>To facilitate the handling of your complaint, you should provide the following information to your national data protection authority ("DPA"). However, please note that the use of this form remains optional and that you may contact your national data protection authority by other means of communication. Please note, however, that the information requested in the form below is necessary to handle your complaint.</w:t>
      </w:r>
    </w:p>
    <w:p w14:paraId="259D58CE" w14:textId="77777777" w:rsidR="007427A2" w:rsidRDefault="007427A2" w:rsidP="007427A2">
      <w:pPr>
        <w:pStyle w:val="Bodytext10"/>
        <w:numPr>
          <w:ilvl w:val="0"/>
          <w:numId w:val="1"/>
        </w:numPr>
        <w:tabs>
          <w:tab w:val="left" w:pos="360"/>
        </w:tabs>
        <w:spacing w:after="140" w:line="254" w:lineRule="auto"/>
        <w:jc w:val="both"/>
      </w:pPr>
      <w:r>
        <w:rPr>
          <w:rStyle w:val="Bodytext1"/>
        </w:rPr>
        <w:t>Please provide the following information:</w:t>
      </w:r>
    </w:p>
    <w:p w14:paraId="2064A570" w14:textId="77777777" w:rsidR="007427A2" w:rsidRDefault="007427A2" w:rsidP="007427A2">
      <w:pPr>
        <w:pStyle w:val="Bodytext10"/>
        <w:numPr>
          <w:ilvl w:val="0"/>
          <w:numId w:val="2"/>
        </w:numPr>
        <w:tabs>
          <w:tab w:val="left" w:pos="1190"/>
        </w:tabs>
        <w:spacing w:after="140" w:line="254" w:lineRule="auto"/>
        <w:ind w:left="1180" w:hanging="360"/>
        <w:jc w:val="both"/>
      </w:pPr>
      <w:r>
        <w:rPr>
          <w:rStyle w:val="Bodytext1"/>
        </w:rPr>
        <w:t>Your name or another identifier used by the U.S. company to individualise you, such as a user name (mandatory in case access rights are at stake)</w:t>
      </w:r>
      <w:r>
        <w:rPr>
          <w:rStyle w:val="FootnoteReference"/>
        </w:rPr>
        <w:footnoteReference w:id="1"/>
      </w:r>
      <w:r>
        <w:rPr>
          <w:rStyle w:val="Bodytext1"/>
        </w:rPr>
        <w:t>;</w:t>
      </w:r>
    </w:p>
    <w:p w14:paraId="502B81EB" w14:textId="77777777" w:rsidR="007427A2" w:rsidRDefault="007427A2" w:rsidP="007427A2">
      <w:pPr>
        <w:pStyle w:val="Bodytext10"/>
        <w:numPr>
          <w:ilvl w:val="0"/>
          <w:numId w:val="2"/>
        </w:numPr>
        <w:tabs>
          <w:tab w:val="left" w:pos="1190"/>
        </w:tabs>
        <w:spacing w:after="140" w:line="254" w:lineRule="auto"/>
        <w:ind w:firstLine="820"/>
        <w:jc w:val="both"/>
      </w:pPr>
      <w:r>
        <w:rPr>
          <w:rStyle w:val="Bodytext1"/>
        </w:rPr>
        <w:t>Your preferred contact details (i.e. telephone number, email address, postal address);</w:t>
      </w:r>
    </w:p>
    <w:p w14:paraId="3023F21C" w14:textId="77777777" w:rsidR="007427A2" w:rsidRDefault="007427A2" w:rsidP="007427A2">
      <w:pPr>
        <w:pStyle w:val="Bodytext10"/>
        <w:numPr>
          <w:ilvl w:val="0"/>
          <w:numId w:val="2"/>
        </w:numPr>
        <w:tabs>
          <w:tab w:val="left" w:pos="1190"/>
        </w:tabs>
        <w:spacing w:after="580" w:line="254" w:lineRule="auto"/>
        <w:ind w:firstLine="820"/>
        <w:jc w:val="both"/>
      </w:pPr>
      <w:r>
        <w:rPr>
          <w:rStyle w:val="Bodytext1"/>
        </w:rPr>
        <w:t>Your name (for contact purposes).</w:t>
      </w:r>
    </w:p>
    <w:p w14:paraId="6E0BD890" w14:textId="77777777" w:rsidR="007427A2" w:rsidRDefault="007427A2" w:rsidP="007427A2">
      <w:pPr>
        <w:pStyle w:val="Bodytext10"/>
        <w:numPr>
          <w:ilvl w:val="0"/>
          <w:numId w:val="1"/>
        </w:numPr>
        <w:tabs>
          <w:tab w:val="left" w:pos="360"/>
        </w:tabs>
        <w:spacing w:after="580" w:line="254" w:lineRule="auto"/>
        <w:ind w:left="380" w:hanging="380"/>
        <w:jc w:val="both"/>
      </w:pPr>
      <w:r>
        <w:rPr>
          <w:rStyle w:val="Bodytext1"/>
        </w:rPr>
        <w:t>If known, which company sent your data to the U.S.? (Please provide the contact details associated with this company).</w:t>
      </w:r>
    </w:p>
    <w:p w14:paraId="577FF596" w14:textId="77777777" w:rsidR="007427A2" w:rsidRDefault="007427A2" w:rsidP="007427A2">
      <w:pPr>
        <w:pStyle w:val="Bodytext10"/>
        <w:numPr>
          <w:ilvl w:val="0"/>
          <w:numId w:val="1"/>
        </w:numPr>
        <w:tabs>
          <w:tab w:val="left" w:pos="360"/>
        </w:tabs>
        <w:spacing w:after="580" w:line="254" w:lineRule="auto"/>
        <w:ind w:left="380" w:hanging="380"/>
        <w:jc w:val="both"/>
      </w:pPr>
      <w:r>
        <w:rPr>
          <w:rStyle w:val="Bodytext1"/>
        </w:rPr>
        <w:t>If known, which U.S. companies are believed to be involved in the processing of your personal data?</w:t>
      </w:r>
    </w:p>
    <w:p w14:paraId="62FD5D46" w14:textId="77777777" w:rsidR="007427A2" w:rsidRDefault="007427A2" w:rsidP="007427A2">
      <w:pPr>
        <w:pStyle w:val="Bodytext10"/>
        <w:numPr>
          <w:ilvl w:val="0"/>
          <w:numId w:val="1"/>
        </w:numPr>
        <w:tabs>
          <w:tab w:val="left" w:pos="360"/>
        </w:tabs>
        <w:spacing w:after="580"/>
        <w:ind w:left="380" w:hanging="380"/>
        <w:jc w:val="both"/>
      </w:pPr>
      <w:r>
        <w:rPr>
          <w:rStyle w:val="Bodytext1"/>
        </w:rPr>
        <w:t>Please explain why you know/believe that your personal data has been transferred from the EU to a U.S. organisation participating in the Data Privacy Framework (for example, information about transfers under the Data Privacy Framework in the privacy policy of the EU company processing your personal data)?</w:t>
      </w:r>
    </w:p>
    <w:p w14:paraId="2CF021D8" w14:textId="77777777" w:rsidR="007427A2" w:rsidRDefault="007427A2" w:rsidP="007427A2">
      <w:pPr>
        <w:pStyle w:val="Bodytext10"/>
        <w:numPr>
          <w:ilvl w:val="0"/>
          <w:numId w:val="1"/>
        </w:numPr>
        <w:tabs>
          <w:tab w:val="left" w:pos="360"/>
        </w:tabs>
        <w:spacing w:after="580" w:line="254" w:lineRule="auto"/>
        <w:jc w:val="both"/>
      </w:pPr>
      <w:r>
        <w:rPr>
          <w:rStyle w:val="Bodytext1"/>
        </w:rPr>
        <w:t>Please explain the alleged violation of the Data Privacy Framework by the U.S. organisation.</w:t>
      </w:r>
    </w:p>
    <w:p w14:paraId="134F2607" w14:textId="77777777" w:rsidR="007427A2" w:rsidRDefault="007427A2" w:rsidP="007427A2">
      <w:pPr>
        <w:pStyle w:val="Bodytext10"/>
        <w:numPr>
          <w:ilvl w:val="0"/>
          <w:numId w:val="1"/>
        </w:numPr>
        <w:tabs>
          <w:tab w:val="left" w:pos="360"/>
        </w:tabs>
        <w:spacing w:after="580" w:line="254" w:lineRule="auto"/>
        <w:ind w:left="380" w:hanging="380"/>
        <w:jc w:val="both"/>
      </w:pPr>
      <w:r>
        <w:rPr>
          <w:rStyle w:val="Bodytext1"/>
        </w:rPr>
        <w:t>If you are seeking information about the processing of your personal data by the U.S. organisation or redress for alleged unlawful processing by that entity, please provide details.</w:t>
      </w:r>
    </w:p>
    <w:p w14:paraId="5E7283C1" w14:textId="77777777" w:rsidR="007427A2" w:rsidRDefault="007427A2" w:rsidP="007427A2">
      <w:pPr>
        <w:pStyle w:val="Bodytext10"/>
        <w:numPr>
          <w:ilvl w:val="0"/>
          <w:numId w:val="1"/>
        </w:numPr>
        <w:tabs>
          <w:tab w:val="left" w:pos="360"/>
        </w:tabs>
        <w:spacing w:after="580" w:line="254" w:lineRule="auto"/>
        <w:ind w:left="380" w:hanging="380"/>
        <w:jc w:val="both"/>
      </w:pPr>
      <w:r>
        <w:rPr>
          <w:rStyle w:val="Bodytext1"/>
        </w:rPr>
        <w:t xml:space="preserve">Have you already attempted to resolve your case by contacting directly the U.S. company involved? </w:t>
      </w:r>
      <w:r>
        <w:rPr>
          <w:rStyle w:val="Bodytext1"/>
        </w:rPr>
        <w:lastRenderedPageBreak/>
        <w:t>If yes, what was the outcome?</w:t>
      </w:r>
      <w:r>
        <w:rPr>
          <w:rStyle w:val="FootnoteReference"/>
        </w:rPr>
        <w:footnoteReference w:id="2"/>
      </w:r>
      <w:r>
        <w:rPr>
          <w:rStyle w:val="Bodytext1"/>
        </w:rPr>
        <w:t xml:space="preserve"> Please provide the previous correspondence on the matter.</w:t>
      </w:r>
    </w:p>
    <w:p w14:paraId="6A355934" w14:textId="77777777" w:rsidR="007427A2" w:rsidRDefault="007427A2" w:rsidP="007427A2">
      <w:pPr>
        <w:pStyle w:val="Bodytext10"/>
        <w:numPr>
          <w:ilvl w:val="0"/>
          <w:numId w:val="1"/>
        </w:numPr>
        <w:tabs>
          <w:tab w:val="left" w:pos="360"/>
        </w:tabs>
        <w:spacing w:after="680" w:line="254" w:lineRule="auto"/>
        <w:ind w:left="380" w:hanging="380"/>
        <w:jc w:val="both"/>
      </w:pPr>
      <w:r>
        <w:rPr>
          <w:rStyle w:val="Bodytext1"/>
        </w:rPr>
        <w:t>What other steps have you taken to obtain the requested information or redress, and what response did you receive from those other steps?</w:t>
      </w:r>
    </w:p>
    <w:p w14:paraId="1BAC14C8" w14:textId="77777777" w:rsidR="007427A2" w:rsidRDefault="007427A2" w:rsidP="007427A2">
      <w:pPr>
        <w:pStyle w:val="Heading110"/>
        <w:keepNext/>
        <w:keepLines/>
        <w:jc w:val="both"/>
      </w:pPr>
      <w:r>
        <w:rPr>
          <w:rStyle w:val="Heading11"/>
        </w:rPr>
        <w:t>Who will process the data provided in this form and how are my personal data protected?</w:t>
      </w:r>
    </w:p>
    <w:p w14:paraId="33A5FDEB" w14:textId="77777777" w:rsidR="007427A2" w:rsidRDefault="007427A2" w:rsidP="007427A2">
      <w:pPr>
        <w:pStyle w:val="Bodytext10"/>
        <w:jc w:val="both"/>
      </w:pPr>
      <w:r>
        <w:rPr>
          <w:rStyle w:val="Bodytext1"/>
        </w:rPr>
        <w:t>Your data protection authority is the controller for the personal data provided through this form and will process personal data in the performance of its tasks carried out in the public interest pursuant to Article 6(1)(e) of Regulation (EU) 2016/679 of the European Parliament and of the Council of 27 April 2016 on the protection of natural persons with regard to the processing of personal data and on the free movement of such data, and repealing Directive 95/46/EC (hereinafter the "</w:t>
      </w:r>
      <w:r>
        <w:rPr>
          <w:rStyle w:val="Bodytext1"/>
          <w:b/>
        </w:rPr>
        <w:t>General Data Protection Regulation</w:t>
      </w:r>
      <w:r>
        <w:rPr>
          <w:rStyle w:val="Bodytext1"/>
        </w:rPr>
        <w:t>"), with particular reference to the tasks set out in Article 57(1)(a), (f) and (g). Where the "informal panel of EU DPAs"</w:t>
      </w:r>
      <w:r>
        <w:rPr>
          <w:rStyle w:val="FootnoteReference"/>
        </w:rPr>
        <w:footnoteReference w:id="3"/>
      </w:r>
      <w:r>
        <w:rPr>
          <w:rStyle w:val="Bodytext1"/>
        </w:rPr>
        <w:t>, your personal data will be shared with the EU DPAs participating in the panel. European data protection law applies to the protection of your personal data processed by all EU DPAs involved, and personal data will be stored for as long as necessary to handle the complaint and in accordance with the applicable law of the Member States [see the privacy notice of each supervisory authority]. You may exercise your rights of access and rectification, erasure or restriction of processing, or your right to object to processing (Article 15 et seq. GDPR) by contacting, in particular, the data protection authority with which you lodged the complaint. In accordance with European data protection law, DPAs will process your personal data exclusively for the purpose of handling your complaint. Access to your data will be restricted and available only to authorised staff within the competent data protection authority.</w:t>
      </w:r>
    </w:p>
    <w:p w14:paraId="020B023B" w14:textId="77777777" w:rsidR="007427A2" w:rsidRDefault="007427A2" w:rsidP="007427A2">
      <w:pPr>
        <w:pStyle w:val="Heading110"/>
        <w:keepNext/>
        <w:keepLines/>
        <w:jc w:val="both"/>
      </w:pPr>
      <w:r>
        <w:rPr>
          <w:rStyle w:val="Heading11"/>
        </w:rPr>
        <w:t>Will my personal data be transferred to U.S. companies or U.S. authorities?</w:t>
      </w:r>
    </w:p>
    <w:p w14:paraId="7B614D73" w14:textId="77777777" w:rsidR="007427A2" w:rsidRDefault="007427A2" w:rsidP="007427A2">
      <w:pPr>
        <w:pStyle w:val="Bodytext10"/>
        <w:spacing w:after="140" w:line="254" w:lineRule="auto"/>
        <w:jc w:val="both"/>
      </w:pPr>
      <w:r>
        <w:rPr>
          <w:rStyle w:val="Bodytext1"/>
        </w:rPr>
        <w:t>If your complaint can be handled without disclosing your personal data, they will not be disclosed in accordance with the principle of data minimisation.</w:t>
      </w:r>
    </w:p>
    <w:p w14:paraId="5EE52193" w14:textId="77777777" w:rsidR="007427A2" w:rsidRDefault="007427A2" w:rsidP="007427A2">
      <w:pPr>
        <w:pStyle w:val="Bodytext10"/>
        <w:spacing w:after="140"/>
        <w:jc w:val="both"/>
      </w:pPr>
      <w:r>
        <w:rPr>
          <w:rStyle w:val="Bodytext1"/>
        </w:rPr>
        <w:t>Please note that handling your complaint may require the transfer of your personal data to the U.S. company concerned and/or U.S. authorities (U.S. Department of Commerce - DoC, U.S. Federal Trade Commission - FTC, U.S. Department of Transportation - DoT). Such personal data may include your name, any other identifier you used when communicating with the U.S. company, or any other personal data processed by the U.S. company and forming part of your complaint.</w:t>
      </w:r>
    </w:p>
    <w:p w14:paraId="1745EB6E" w14:textId="77777777" w:rsidR="007427A2" w:rsidRDefault="007427A2" w:rsidP="007427A2">
      <w:pPr>
        <w:pStyle w:val="Bodytext10"/>
        <w:spacing w:after="140" w:line="254" w:lineRule="auto"/>
        <w:jc w:val="both"/>
      </w:pPr>
      <w:r>
        <w:rPr>
          <w:rStyle w:val="Bodytext1"/>
        </w:rPr>
        <w:t xml:space="preserve">If such a transfer proves necessary to handle your complaint, you will be specifically informed before </w:t>
      </w:r>
      <w:r>
        <w:rPr>
          <w:rStyle w:val="Bodytext1"/>
        </w:rPr>
        <w:lastRenderedPageBreak/>
        <w:t>the data transfer and will have the opportunity to decide whether you wish to proceed.</w:t>
      </w:r>
    </w:p>
    <w:p w14:paraId="7065AB6E" w14:textId="77777777" w:rsidR="007427A2" w:rsidRDefault="007427A2" w:rsidP="007427A2">
      <w:pPr>
        <w:pStyle w:val="Bodytext10"/>
        <w:spacing w:line="240" w:lineRule="auto"/>
        <w:jc w:val="both"/>
      </w:pPr>
      <w:r>
        <w:rPr>
          <w:rStyle w:val="Bodytext1"/>
        </w:rPr>
        <w:t>The outcome of the complaint procedure may be published, where appropriate. However, your personal data will not be disclosed in the course of such publication.</w:t>
      </w:r>
    </w:p>
    <w:p w14:paraId="01E1A123" w14:textId="59A50C43" w:rsidR="00E16C16" w:rsidRDefault="00E16C16"/>
    <w:sectPr w:rsidR="00E16C16" w:rsidSect="007427A2">
      <w:pgSz w:w="11900" w:h="16840"/>
      <w:pgMar w:top="1429" w:right="1405" w:bottom="1210" w:left="1403"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02544" w14:textId="77777777" w:rsidR="0086000A" w:rsidRDefault="0086000A" w:rsidP="007427A2">
      <w:r>
        <w:separator/>
      </w:r>
    </w:p>
  </w:endnote>
  <w:endnote w:type="continuationSeparator" w:id="0">
    <w:p w14:paraId="70AB9ECB" w14:textId="77777777" w:rsidR="0086000A" w:rsidRDefault="0086000A" w:rsidP="00742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EFAA0" w14:textId="77777777" w:rsidR="0086000A" w:rsidRDefault="0086000A" w:rsidP="007427A2">
      <w:r>
        <w:separator/>
      </w:r>
    </w:p>
  </w:footnote>
  <w:footnote w:type="continuationSeparator" w:id="0">
    <w:p w14:paraId="2E1C76C2" w14:textId="77777777" w:rsidR="0086000A" w:rsidRDefault="0086000A" w:rsidP="007427A2">
      <w:r>
        <w:continuationSeparator/>
      </w:r>
    </w:p>
  </w:footnote>
  <w:footnote w:id="1">
    <w:p w14:paraId="076E9E50" w14:textId="77777777" w:rsidR="007427A2" w:rsidRDefault="007427A2" w:rsidP="007427A2">
      <w:pPr>
        <w:pStyle w:val="Footnote10"/>
        <w:ind w:left="0"/>
        <w:jc w:val="both"/>
        <w:rPr>
          <w:sz w:val="18"/>
          <w:szCs w:val="18"/>
        </w:rPr>
      </w:pPr>
      <w:r>
        <w:rPr>
          <w:rStyle w:val="FootnoteReference"/>
        </w:rPr>
        <w:footnoteRef/>
      </w:r>
      <w:r>
        <w:t xml:space="preserve"> If your complaint relates to your right of access to your personal data, it will be necessary to provide this information, as otherwise the U.S. company will not know which user lodged the complaint and will therefore not be able to identify and resolve the case. DPAs may also request additional information to ensure the appropriate verification of this information (authentication).</w:t>
      </w:r>
    </w:p>
    <w:p w14:paraId="39BC2693" w14:textId="77777777" w:rsidR="007427A2" w:rsidRDefault="007427A2" w:rsidP="007427A2">
      <w:pPr>
        <w:pStyle w:val="FootnoteText"/>
        <w:rPr>
          <w:sz w:val="18"/>
          <w:szCs w:val="18"/>
          <w:lang w:val="hr-HR"/>
        </w:rPr>
      </w:pPr>
    </w:p>
  </w:footnote>
  <w:footnote w:id="2">
    <w:p w14:paraId="0220A222" w14:textId="77777777" w:rsidR="007427A2" w:rsidRDefault="007427A2" w:rsidP="007427A2">
      <w:pPr>
        <w:pStyle w:val="Footnote10"/>
        <w:ind w:left="0"/>
        <w:jc w:val="both"/>
        <w:rPr>
          <w:sz w:val="18"/>
          <w:szCs w:val="18"/>
        </w:rPr>
      </w:pPr>
      <w:r>
        <w:rPr>
          <w:rStyle w:val="FootnoteReference"/>
        </w:rPr>
        <w:footnoteRef/>
      </w:r>
      <w:r>
        <w:t xml:space="preserve"> Please note that in most cases it is advisable to first contact the U.S. company certified under the Data Privacy Framework in order to try to resolve your case. Your national EU data protection authority can assist you in doing so.</w:t>
      </w:r>
    </w:p>
    <w:p w14:paraId="38F8A5D4" w14:textId="77777777" w:rsidR="007427A2" w:rsidRDefault="007427A2" w:rsidP="007427A2">
      <w:pPr>
        <w:pStyle w:val="FootnoteText"/>
        <w:rPr>
          <w:lang w:val="hr-HR"/>
        </w:rPr>
      </w:pPr>
    </w:p>
  </w:footnote>
  <w:footnote w:id="3">
    <w:p w14:paraId="35FE87B1" w14:textId="77777777" w:rsidR="007427A2" w:rsidRDefault="007427A2" w:rsidP="007427A2">
      <w:pPr>
        <w:pStyle w:val="Footnote10"/>
        <w:ind w:left="0"/>
        <w:jc w:val="both"/>
        <w:rPr>
          <w:sz w:val="18"/>
          <w:szCs w:val="18"/>
        </w:rPr>
      </w:pPr>
      <w:r>
        <w:rPr>
          <w:rStyle w:val="FootnoteReference"/>
        </w:rPr>
        <w:footnoteRef/>
      </w:r>
      <w:r>
        <w:t xml:space="preserve"> The "informal panel of EU DPAs" is a group of data protection authorities of the EU Member States that will be set up to handle complaints concerning human resources personal data transferred from an EU entity to a U.S. Data Privacy Framework company or where the U.S. company has voluntarily committed to cooperate with the EU DPAs. See Commission Implementing Decision of 10.7.2023 pursuant to Regulation (EU) 2016/679 of the European Parliament and of the Council on the adequate level of protection of personal data under the EU-U.S. Data Privacy Framework, recital 75.</w:t>
      </w:r>
    </w:p>
    <w:p w14:paraId="00A85B56" w14:textId="77777777" w:rsidR="007427A2" w:rsidRDefault="007427A2" w:rsidP="007427A2"/>
    <w:p w14:paraId="55C49109" w14:textId="77777777" w:rsidR="007427A2" w:rsidRDefault="007427A2" w:rsidP="007427A2">
      <w:pPr>
        <w:pStyle w:val="FootnoteText"/>
        <w:rPr>
          <w:lang w:val="hr-H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C7F82"/>
    <w:multiLevelType w:val="multilevel"/>
    <w:tmpl w:val="E27C341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416161"/>
    <w:multiLevelType w:val="multilevel"/>
    <w:tmpl w:val="02E6934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71129462">
    <w:abstractNumId w:val="1"/>
  </w:num>
  <w:num w:numId="2" w16cid:durableId="851459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7A2"/>
    <w:rsid w:val="0004748A"/>
    <w:rsid w:val="007427A2"/>
    <w:rsid w:val="0086000A"/>
    <w:rsid w:val="00E16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E1539"/>
  <w15:chartTrackingRefBased/>
  <w15:docId w15:val="{536CFBF7-4CE9-41B8-A9B7-70448ADA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7A2"/>
    <w:pPr>
      <w:widowControl w:val="0"/>
      <w:spacing w:after="0" w:line="240" w:lineRule="auto"/>
    </w:pPr>
    <w:rPr>
      <w:rFonts w:ascii="Times New Roman" w:eastAsia="Times New Roman" w:hAnsi="Times New Roman" w:cs="Times New Roman"/>
      <w:color w:val="000000"/>
      <w:kern w:val="0"/>
      <w:sz w:val="24"/>
      <w:szCs w:val="20"/>
      <w:lang w:val="hr" w:eastAsia="hr-HR"/>
      <w14:ligatures w14:val="none"/>
    </w:rPr>
  </w:style>
  <w:style w:type="paragraph" w:styleId="Heading1">
    <w:name w:val="heading 1"/>
    <w:basedOn w:val="Normal"/>
    <w:next w:val="Normal"/>
    <w:link w:val="Heading1Char"/>
    <w:uiPriority w:val="9"/>
    <w:qFormat/>
    <w:rsid w:val="00742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7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7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7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7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7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7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7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7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7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7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7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7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7A2"/>
    <w:rPr>
      <w:rFonts w:eastAsiaTheme="majorEastAsia" w:cstheme="majorBidi"/>
      <w:color w:val="272727" w:themeColor="text1" w:themeTint="D8"/>
    </w:rPr>
  </w:style>
  <w:style w:type="paragraph" w:styleId="Title">
    <w:name w:val="Title"/>
    <w:basedOn w:val="Normal"/>
    <w:next w:val="Normal"/>
    <w:link w:val="TitleChar"/>
    <w:uiPriority w:val="10"/>
    <w:qFormat/>
    <w:rsid w:val="007427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7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7A2"/>
    <w:rPr>
      <w:i/>
      <w:iCs/>
      <w:color w:val="404040" w:themeColor="text1" w:themeTint="BF"/>
    </w:rPr>
  </w:style>
  <w:style w:type="paragraph" w:styleId="ListParagraph">
    <w:name w:val="List Paragraph"/>
    <w:basedOn w:val="Normal"/>
    <w:uiPriority w:val="34"/>
    <w:qFormat/>
    <w:rsid w:val="007427A2"/>
    <w:pPr>
      <w:ind w:left="720"/>
      <w:contextualSpacing/>
    </w:pPr>
  </w:style>
  <w:style w:type="character" w:styleId="IntenseEmphasis">
    <w:name w:val="Intense Emphasis"/>
    <w:basedOn w:val="DefaultParagraphFont"/>
    <w:uiPriority w:val="21"/>
    <w:qFormat/>
    <w:rsid w:val="007427A2"/>
    <w:rPr>
      <w:i/>
      <w:iCs/>
      <w:color w:val="0F4761" w:themeColor="accent1" w:themeShade="BF"/>
    </w:rPr>
  </w:style>
  <w:style w:type="paragraph" w:styleId="IntenseQuote">
    <w:name w:val="Intense Quote"/>
    <w:basedOn w:val="Normal"/>
    <w:next w:val="Normal"/>
    <w:link w:val="IntenseQuoteChar"/>
    <w:uiPriority w:val="30"/>
    <w:qFormat/>
    <w:rsid w:val="00742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7A2"/>
    <w:rPr>
      <w:i/>
      <w:iCs/>
      <w:color w:val="0F4761" w:themeColor="accent1" w:themeShade="BF"/>
    </w:rPr>
  </w:style>
  <w:style w:type="character" w:styleId="IntenseReference">
    <w:name w:val="Intense Reference"/>
    <w:basedOn w:val="DefaultParagraphFont"/>
    <w:uiPriority w:val="32"/>
    <w:qFormat/>
    <w:rsid w:val="007427A2"/>
    <w:rPr>
      <w:b/>
      <w:bCs/>
      <w:smallCaps/>
      <w:color w:val="0F4761" w:themeColor="accent1" w:themeShade="BF"/>
      <w:spacing w:val="5"/>
    </w:rPr>
  </w:style>
  <w:style w:type="character" w:customStyle="1" w:styleId="Footnote1">
    <w:name w:val="Footnote|1_"/>
    <w:basedOn w:val="DefaultParagraphFont"/>
    <w:link w:val="Footnote10"/>
    <w:rsid w:val="007427A2"/>
    <w:rPr>
      <w:rFonts w:ascii="Calibri" w:eastAsia="Calibri" w:hAnsi="Calibri" w:cs="Calibri"/>
      <w:sz w:val="20"/>
    </w:rPr>
  </w:style>
  <w:style w:type="character" w:customStyle="1" w:styleId="Bodytext2">
    <w:name w:val="Body text|2_"/>
    <w:basedOn w:val="DefaultParagraphFont"/>
    <w:link w:val="Bodytext20"/>
    <w:rsid w:val="007427A2"/>
    <w:rPr>
      <w:rFonts w:ascii="Calibri" w:eastAsia="Calibri" w:hAnsi="Calibri" w:cs="Calibri"/>
      <w:b/>
      <w:color w:val="004494"/>
      <w:sz w:val="36"/>
    </w:rPr>
  </w:style>
  <w:style w:type="character" w:customStyle="1" w:styleId="Bodytext1">
    <w:name w:val="Body text|1_"/>
    <w:basedOn w:val="DefaultParagraphFont"/>
    <w:link w:val="Bodytext10"/>
    <w:rsid w:val="007427A2"/>
    <w:rPr>
      <w:rFonts w:ascii="Calibri" w:eastAsia="Calibri" w:hAnsi="Calibri" w:cs="Calibri"/>
    </w:rPr>
  </w:style>
  <w:style w:type="character" w:customStyle="1" w:styleId="Heading11">
    <w:name w:val="Heading #1|1_"/>
    <w:basedOn w:val="DefaultParagraphFont"/>
    <w:link w:val="Heading110"/>
    <w:rsid w:val="007427A2"/>
    <w:rPr>
      <w:rFonts w:ascii="Calibri Light" w:eastAsia="Calibri Light" w:hAnsi="Calibri Light" w:cs="Calibri Light"/>
      <w:color w:val="2E74B5"/>
      <w:sz w:val="26"/>
    </w:rPr>
  </w:style>
  <w:style w:type="paragraph" w:customStyle="1" w:styleId="Footnote10">
    <w:name w:val="Footnote|1"/>
    <w:basedOn w:val="Normal"/>
    <w:link w:val="Footnote1"/>
    <w:rsid w:val="007427A2"/>
    <w:pPr>
      <w:ind w:left="70"/>
    </w:pPr>
    <w:rPr>
      <w:rFonts w:ascii="Calibri" w:eastAsia="Calibri" w:hAnsi="Calibri" w:cs="Calibri"/>
      <w:color w:val="auto"/>
      <w:kern w:val="2"/>
      <w:sz w:val="20"/>
      <w:szCs w:val="22"/>
      <w:lang w:val="en-US" w:eastAsia="en-US"/>
      <w14:ligatures w14:val="standardContextual"/>
    </w:rPr>
  </w:style>
  <w:style w:type="paragraph" w:customStyle="1" w:styleId="Bodytext20">
    <w:name w:val="Body text|2"/>
    <w:basedOn w:val="Normal"/>
    <w:link w:val="Bodytext2"/>
    <w:rsid w:val="007427A2"/>
    <w:pPr>
      <w:spacing w:after="460" w:line="271" w:lineRule="auto"/>
      <w:jc w:val="center"/>
    </w:pPr>
    <w:rPr>
      <w:rFonts w:ascii="Calibri" w:eastAsia="Calibri" w:hAnsi="Calibri" w:cs="Calibri"/>
      <w:b/>
      <w:color w:val="004494"/>
      <w:kern w:val="2"/>
      <w:sz w:val="36"/>
      <w:szCs w:val="22"/>
      <w:lang w:val="en-US" w:eastAsia="en-US"/>
      <w14:ligatures w14:val="standardContextual"/>
    </w:rPr>
  </w:style>
  <w:style w:type="paragraph" w:customStyle="1" w:styleId="Bodytext10">
    <w:name w:val="Body text|1"/>
    <w:basedOn w:val="Normal"/>
    <w:link w:val="Bodytext1"/>
    <w:rsid w:val="007427A2"/>
    <w:pPr>
      <w:spacing w:after="240" w:line="252" w:lineRule="auto"/>
    </w:pPr>
    <w:rPr>
      <w:rFonts w:ascii="Calibri" w:eastAsia="Calibri" w:hAnsi="Calibri" w:cs="Calibri"/>
      <w:color w:val="auto"/>
      <w:kern w:val="2"/>
      <w:sz w:val="22"/>
      <w:szCs w:val="22"/>
      <w:lang w:val="en-US" w:eastAsia="en-US"/>
      <w14:ligatures w14:val="standardContextual"/>
    </w:rPr>
  </w:style>
  <w:style w:type="paragraph" w:customStyle="1" w:styleId="Heading110">
    <w:name w:val="Heading #1|1"/>
    <w:basedOn w:val="Normal"/>
    <w:link w:val="Heading11"/>
    <w:rsid w:val="007427A2"/>
    <w:pPr>
      <w:spacing w:after="240"/>
      <w:outlineLvl w:val="0"/>
    </w:pPr>
    <w:rPr>
      <w:rFonts w:ascii="Calibri Light" w:eastAsia="Calibri Light" w:hAnsi="Calibri Light" w:cs="Calibri Light"/>
      <w:color w:val="2E74B5"/>
      <w:kern w:val="2"/>
      <w:sz w:val="26"/>
      <w:szCs w:val="22"/>
      <w:lang w:val="en-US" w:eastAsia="en-US"/>
      <w14:ligatures w14:val="standardContextual"/>
    </w:rPr>
  </w:style>
  <w:style w:type="paragraph" w:styleId="FootnoteText">
    <w:name w:val="footnote text"/>
    <w:basedOn w:val="Normal"/>
    <w:link w:val="FootnoteTextChar"/>
    <w:uiPriority w:val="99"/>
    <w:semiHidden/>
    <w:unhideWhenUsed/>
    <w:rsid w:val="007427A2"/>
    <w:rPr>
      <w:sz w:val="20"/>
    </w:rPr>
  </w:style>
  <w:style w:type="character" w:customStyle="1" w:styleId="FootnoteTextChar">
    <w:name w:val="Footnote Text Char"/>
    <w:basedOn w:val="DefaultParagraphFont"/>
    <w:link w:val="FootnoteText"/>
    <w:uiPriority w:val="99"/>
    <w:semiHidden/>
    <w:rsid w:val="007427A2"/>
    <w:rPr>
      <w:rFonts w:ascii="Times New Roman" w:eastAsia="Times New Roman" w:hAnsi="Times New Roman" w:cs="Times New Roman"/>
      <w:color w:val="000000"/>
      <w:kern w:val="0"/>
      <w:sz w:val="20"/>
      <w:szCs w:val="20"/>
      <w:lang w:val="hr" w:eastAsia="hr-HR"/>
      <w14:ligatures w14:val="none"/>
    </w:rPr>
  </w:style>
  <w:style w:type="character" w:styleId="FootnoteReference">
    <w:name w:val="footnote reference"/>
    <w:basedOn w:val="DefaultParagraphFont"/>
    <w:uiPriority w:val="99"/>
    <w:semiHidden/>
    <w:unhideWhenUsed/>
    <w:rsid w:val="007427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3951</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AZOP</dc:creator>
  <cp:keywords/>
  <dc:description/>
  <cp:lastModifiedBy>Anamarija Mladinić | AZOP</cp:lastModifiedBy>
  <cp:revision>1</cp:revision>
  <dcterms:created xsi:type="dcterms:W3CDTF">2026-06-26T06:30:00Z</dcterms:created>
  <dcterms:modified xsi:type="dcterms:W3CDTF">2026-06-26T06:31:00Z</dcterms:modified>
</cp:coreProperties>
</file>